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1B750" w14:textId="46174E90" w:rsidR="00C2064A" w:rsidRPr="00C2064A" w:rsidRDefault="00C2064A" w:rsidP="001B336C">
      <w:pPr>
        <w:spacing w:line="480" w:lineRule="auto"/>
        <w:rPr>
          <w:rFonts w:ascii="Times New Roman" w:hAnsi="Times New Roman" w:cs="Times New Roman"/>
          <w:b/>
          <w:bCs/>
          <w:sz w:val="24"/>
          <w:szCs w:val="24"/>
        </w:rPr>
      </w:pPr>
      <w:r w:rsidRPr="001B336C">
        <w:rPr>
          <w:rFonts w:ascii="Times New Roman" w:hAnsi="Times New Roman" w:cs="Times New Roman"/>
          <w:b/>
          <w:bCs/>
          <w:sz w:val="24"/>
          <w:szCs w:val="24"/>
        </w:rPr>
        <w:t>C</w:t>
      </w:r>
      <w:r w:rsidRPr="00C2064A">
        <w:rPr>
          <w:rFonts w:ascii="Times New Roman" w:hAnsi="Times New Roman" w:cs="Times New Roman"/>
          <w:b/>
          <w:bCs/>
          <w:sz w:val="24"/>
          <w:szCs w:val="24"/>
        </w:rPr>
        <w:t>ognitector2024</w:t>
      </w:r>
    </w:p>
    <w:p w14:paraId="66C99333" w14:textId="77777777" w:rsidR="00C2064A" w:rsidRPr="00C2064A" w:rsidRDefault="00C2064A" w:rsidP="001B336C">
      <w:pPr>
        <w:spacing w:line="480" w:lineRule="auto"/>
        <w:rPr>
          <w:rFonts w:ascii="Times New Roman" w:hAnsi="Times New Roman" w:cs="Times New Roman"/>
          <w:sz w:val="24"/>
          <w:szCs w:val="24"/>
        </w:rPr>
      </w:pPr>
      <w:r w:rsidRPr="00C2064A">
        <w:rPr>
          <w:rFonts w:ascii="Times New Roman" w:hAnsi="Times New Roman" w:cs="Times New Roman"/>
          <w:sz w:val="24"/>
          <w:szCs w:val="24"/>
        </w:rPr>
        <w:t xml:space="preserve">This project seeks to build an interpretable model based on </w:t>
      </w:r>
      <w:r w:rsidRPr="001B336C">
        <w:rPr>
          <w:rFonts w:ascii="Times New Roman" w:hAnsi="Times New Roman" w:cs="Times New Roman"/>
          <w:sz w:val="24"/>
          <w:szCs w:val="24"/>
        </w:rPr>
        <w:t xml:space="preserve">a vision transformer for detecting attention rate based on facial expressions in a </w:t>
      </w:r>
      <w:r w:rsidRPr="00C2064A">
        <w:rPr>
          <w:rFonts w:ascii="Times New Roman" w:hAnsi="Times New Roman" w:cs="Times New Roman"/>
          <w:sz w:val="24"/>
          <w:szCs w:val="24"/>
        </w:rPr>
        <w:t>human video sequence.</w:t>
      </w:r>
    </w:p>
    <w:p w14:paraId="42223DE5" w14:textId="16EDCF08" w:rsidR="00C2064A" w:rsidRPr="00C2064A" w:rsidRDefault="00C2064A" w:rsidP="001B336C">
      <w:pPr>
        <w:spacing w:line="480" w:lineRule="auto"/>
        <w:jc w:val="both"/>
        <w:rPr>
          <w:rFonts w:ascii="Times New Roman" w:hAnsi="Times New Roman" w:cs="Times New Roman"/>
          <w:sz w:val="24"/>
          <w:szCs w:val="24"/>
        </w:rPr>
      </w:pPr>
      <w:r w:rsidRPr="00C2064A">
        <w:rPr>
          <w:rFonts w:ascii="Times New Roman" w:hAnsi="Times New Roman" w:cs="Times New Roman"/>
          <w:sz w:val="24"/>
          <w:szCs w:val="24"/>
        </w:rPr>
        <w:t>This dataset was curated for monitoring attention among university students using the trail-making test experiment. Access to the dataset is only based on permission from the author. You can request permission by sending an email to Emmanuel Kwesi Baah (</w:t>
      </w:r>
      <w:hyperlink r:id="rId6" w:history="1">
        <w:r w:rsidRPr="00C2064A">
          <w:rPr>
            <w:rStyle w:val="Hyperlink"/>
            <w:rFonts w:ascii="Times New Roman" w:hAnsi="Times New Roman" w:cs="Times New Roman"/>
            <w:sz w:val="24"/>
            <w:szCs w:val="24"/>
          </w:rPr>
          <w:t>qwecibaahemmanuel@gmail.com</w:t>
        </w:r>
      </w:hyperlink>
      <w:r w:rsidRPr="00C2064A">
        <w:rPr>
          <w:rFonts w:ascii="Times New Roman" w:hAnsi="Times New Roman" w:cs="Times New Roman"/>
          <w:sz w:val="24"/>
          <w:szCs w:val="24"/>
        </w:rPr>
        <w:t>).</w:t>
      </w:r>
    </w:p>
    <w:p w14:paraId="004F5AD2" w14:textId="77777777" w:rsidR="00482326" w:rsidRPr="001B336C" w:rsidRDefault="00482326" w:rsidP="001B336C">
      <w:pPr>
        <w:spacing w:line="480" w:lineRule="auto"/>
        <w:rPr>
          <w:rFonts w:ascii="Times New Roman" w:hAnsi="Times New Roman" w:cs="Times New Roman"/>
          <w:sz w:val="24"/>
          <w:szCs w:val="24"/>
        </w:rPr>
      </w:pPr>
    </w:p>
    <w:p w14:paraId="541C1C43" w14:textId="7DDC22DC" w:rsidR="00940529" w:rsidRPr="001B336C" w:rsidRDefault="001B336C" w:rsidP="001B336C">
      <w:pPr>
        <w:spacing w:line="480" w:lineRule="auto"/>
        <w:rPr>
          <w:rFonts w:ascii="Times New Roman" w:hAnsi="Times New Roman" w:cs="Times New Roman"/>
          <w:b/>
          <w:bCs/>
          <w:sz w:val="24"/>
          <w:szCs w:val="24"/>
        </w:rPr>
      </w:pPr>
      <w:r>
        <w:rPr>
          <w:rFonts w:ascii="Times New Roman" w:hAnsi="Times New Roman" w:cs="Times New Roman"/>
          <w:b/>
          <w:bCs/>
          <w:sz w:val="24"/>
          <w:szCs w:val="24"/>
        </w:rPr>
        <w:t>Structure</w:t>
      </w:r>
      <w:r w:rsidR="00940529" w:rsidRPr="001B336C">
        <w:rPr>
          <w:rFonts w:ascii="Times New Roman" w:hAnsi="Times New Roman" w:cs="Times New Roman"/>
          <w:b/>
          <w:bCs/>
          <w:sz w:val="24"/>
          <w:szCs w:val="24"/>
        </w:rPr>
        <w:t xml:space="preserve"> of the Dataset</w:t>
      </w:r>
      <w:r>
        <w:rPr>
          <w:rFonts w:ascii="Times New Roman" w:hAnsi="Times New Roman" w:cs="Times New Roman"/>
          <w:b/>
          <w:bCs/>
          <w:sz w:val="24"/>
          <w:szCs w:val="24"/>
        </w:rPr>
        <w:t xml:space="preserve"> Folder</w:t>
      </w:r>
      <w:r w:rsidR="00940529" w:rsidRPr="001B336C">
        <w:rPr>
          <w:rFonts w:ascii="Times New Roman" w:hAnsi="Times New Roman" w:cs="Times New Roman"/>
          <w:b/>
          <w:bCs/>
          <w:sz w:val="24"/>
          <w:szCs w:val="24"/>
        </w:rPr>
        <w:t>:</w:t>
      </w:r>
    </w:p>
    <w:p w14:paraId="4F322829" w14:textId="0F9C04FF" w:rsidR="00940529" w:rsidRPr="001B336C" w:rsidRDefault="00940529" w:rsidP="001B336C">
      <w:pPr>
        <w:spacing w:line="480" w:lineRule="auto"/>
        <w:rPr>
          <w:rFonts w:ascii="Times New Roman" w:hAnsi="Times New Roman" w:cs="Times New Roman"/>
          <w:sz w:val="24"/>
          <w:szCs w:val="24"/>
        </w:rPr>
      </w:pPr>
      <w:r w:rsidRPr="001B336C">
        <w:rPr>
          <w:rFonts w:ascii="Times New Roman" w:hAnsi="Times New Roman" w:cs="Times New Roman"/>
          <w:sz w:val="24"/>
          <w:szCs w:val="24"/>
        </w:rPr>
        <w:t>The dataset consists of a main folder: TMT-A.</w:t>
      </w:r>
    </w:p>
    <w:p w14:paraId="792DCFB7" w14:textId="2D1F8A30" w:rsidR="00940529" w:rsidRPr="001B336C" w:rsidRDefault="00940529" w:rsidP="001B336C">
      <w:pPr>
        <w:spacing w:line="480" w:lineRule="auto"/>
        <w:rPr>
          <w:rFonts w:ascii="Times New Roman" w:hAnsi="Times New Roman" w:cs="Times New Roman"/>
          <w:sz w:val="24"/>
          <w:szCs w:val="24"/>
        </w:rPr>
      </w:pPr>
      <w:r w:rsidRPr="001B336C">
        <w:rPr>
          <w:rFonts w:ascii="Times New Roman" w:hAnsi="Times New Roman" w:cs="Times New Roman"/>
          <w:sz w:val="24"/>
          <w:szCs w:val="24"/>
        </w:rPr>
        <w:t>There are two sub-folders containing the two classes:</w:t>
      </w:r>
    </w:p>
    <w:p w14:paraId="153CCA46" w14:textId="5B38513A" w:rsidR="00940529" w:rsidRPr="001B336C" w:rsidRDefault="00940529" w:rsidP="001B336C">
      <w:pPr>
        <w:pStyle w:val="ListParagraph"/>
        <w:numPr>
          <w:ilvl w:val="0"/>
          <w:numId w:val="1"/>
        </w:numPr>
        <w:spacing w:line="480" w:lineRule="auto"/>
        <w:rPr>
          <w:rFonts w:ascii="Times New Roman" w:hAnsi="Times New Roman" w:cs="Times New Roman"/>
          <w:sz w:val="24"/>
          <w:szCs w:val="24"/>
        </w:rPr>
      </w:pPr>
      <w:r w:rsidRPr="001B336C">
        <w:rPr>
          <w:rFonts w:ascii="Times New Roman" w:hAnsi="Times New Roman" w:cs="Times New Roman"/>
          <w:sz w:val="24"/>
          <w:szCs w:val="24"/>
        </w:rPr>
        <w:t>Fast-TMT-A</w:t>
      </w:r>
    </w:p>
    <w:p w14:paraId="4B4EE018" w14:textId="6A491FE2" w:rsidR="00940529" w:rsidRPr="001B336C" w:rsidRDefault="00940529" w:rsidP="001B336C">
      <w:pPr>
        <w:pStyle w:val="ListParagraph"/>
        <w:numPr>
          <w:ilvl w:val="0"/>
          <w:numId w:val="1"/>
        </w:numPr>
        <w:spacing w:line="480" w:lineRule="auto"/>
        <w:rPr>
          <w:rFonts w:ascii="Times New Roman" w:hAnsi="Times New Roman" w:cs="Times New Roman"/>
          <w:sz w:val="24"/>
          <w:szCs w:val="24"/>
        </w:rPr>
      </w:pPr>
      <w:r w:rsidRPr="001B336C">
        <w:rPr>
          <w:rFonts w:ascii="Times New Roman" w:hAnsi="Times New Roman" w:cs="Times New Roman"/>
          <w:sz w:val="24"/>
          <w:szCs w:val="24"/>
        </w:rPr>
        <w:t>Average-TMT-A</w:t>
      </w:r>
    </w:p>
    <w:p w14:paraId="7FB8C681" w14:textId="38B00ECA" w:rsidR="00940529" w:rsidRPr="001B336C" w:rsidRDefault="001B336C" w:rsidP="001B336C">
      <w:pPr>
        <w:spacing w:line="480" w:lineRule="auto"/>
        <w:rPr>
          <w:rFonts w:ascii="Times New Roman" w:hAnsi="Times New Roman" w:cs="Times New Roman"/>
          <w:b/>
          <w:bCs/>
          <w:sz w:val="24"/>
          <w:szCs w:val="24"/>
        </w:rPr>
      </w:pPr>
      <w:r w:rsidRPr="001B336C">
        <w:rPr>
          <w:rFonts w:ascii="Times New Roman" w:hAnsi="Times New Roman" w:cs="Times New Roman"/>
          <w:b/>
          <w:bCs/>
          <w:sz w:val="24"/>
          <w:szCs w:val="24"/>
        </w:rPr>
        <w:t xml:space="preserve">Descriptions </w:t>
      </w:r>
    </w:p>
    <w:p w14:paraId="22423006" w14:textId="434BD910" w:rsidR="001B336C" w:rsidRPr="001B336C" w:rsidRDefault="001B336C" w:rsidP="001B336C">
      <w:pPr>
        <w:spacing w:line="480" w:lineRule="auto"/>
        <w:jc w:val="both"/>
        <w:rPr>
          <w:rFonts w:ascii="Times New Roman" w:eastAsia="Times" w:hAnsi="Times New Roman" w:cs="Times New Roman"/>
          <w:color w:val="000000"/>
          <w:spacing w:val="-3"/>
          <w:sz w:val="24"/>
          <w:szCs w:val="24"/>
        </w:rPr>
      </w:pPr>
      <w:r w:rsidRPr="001B336C">
        <w:rPr>
          <w:rFonts w:ascii="Times New Roman" w:eastAsia="Times" w:hAnsi="Times New Roman" w:cs="Times New Roman"/>
          <w:color w:val="000000"/>
          <w:spacing w:val="-3"/>
          <w:sz w:val="24"/>
          <w:szCs w:val="24"/>
        </w:rPr>
        <w:t xml:space="preserve">Forty-three video recordings of students who took the TMT-A test </w:t>
      </w:r>
      <w:r>
        <w:rPr>
          <w:rFonts w:ascii="Times New Roman" w:eastAsia="Times" w:hAnsi="Times New Roman" w:cs="Times New Roman"/>
          <w:color w:val="000000"/>
          <w:spacing w:val="-3"/>
          <w:sz w:val="24"/>
          <w:szCs w:val="24"/>
        </w:rPr>
        <w:t>were originally in a .mov format, but were converted to .mp4 for the deep learning model. E</w:t>
      </w:r>
      <w:r w:rsidRPr="001B336C">
        <w:rPr>
          <w:rFonts w:ascii="Times New Roman" w:eastAsia="Times" w:hAnsi="Times New Roman" w:cs="Times New Roman"/>
          <w:color w:val="000000"/>
          <w:spacing w:val="-3"/>
          <w:sz w:val="24"/>
          <w:szCs w:val="24"/>
        </w:rPr>
        <w:t xml:space="preserve">ach </w:t>
      </w:r>
      <w:r>
        <w:rPr>
          <w:rFonts w:ascii="Times New Roman" w:eastAsia="Times" w:hAnsi="Times New Roman" w:cs="Times New Roman"/>
          <w:color w:val="000000"/>
          <w:spacing w:val="-3"/>
          <w:sz w:val="24"/>
          <w:szCs w:val="24"/>
        </w:rPr>
        <w:t>video duration span from 13 seconds to</w:t>
      </w:r>
      <w:r w:rsidRPr="001B336C">
        <w:rPr>
          <w:rFonts w:ascii="Times New Roman" w:eastAsia="Times" w:hAnsi="Times New Roman" w:cs="Times New Roman"/>
          <w:color w:val="000000"/>
          <w:spacing w:val="-3"/>
          <w:sz w:val="24"/>
          <w:szCs w:val="24"/>
        </w:rPr>
        <w:t xml:space="preserve"> a maximum of 60 seconds. By convention, an individual who completes the TMT-A test in less than 25 seconds was classified as having a Fast Attention Rate (FAR), while individuals who took more than 25 to 60 seconds to complete the task were considered to have an Average Attention Rate (AAR). The 25-second decision boundary for the class “Fast” against “Average” attentions is supported by the meta-analytic norms according to Tombaugh </w:t>
      </w:r>
      <w:sdt>
        <w:sdtPr>
          <w:rPr>
            <w:rFonts w:ascii="Times New Roman" w:eastAsia="Times" w:hAnsi="Times New Roman" w:cs="Times New Roman"/>
            <w:color w:val="000000"/>
            <w:spacing w:val="-3"/>
            <w:sz w:val="24"/>
            <w:szCs w:val="24"/>
          </w:rPr>
          <w:tag w:val="MENDELEY_CITATION_v3_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"/>
          <w:id w:val="-2040201556"/>
          <w:placeholder>
            <w:docPart w:val="070FAAE642DB49FFB9330D1B0FA75EDE"/>
          </w:placeholder>
        </w:sdtPr>
        <w:sdtContent>
          <w:r w:rsidRPr="001B336C">
            <w:rPr>
              <w:rFonts w:ascii="Times New Roman" w:eastAsia="Times" w:hAnsi="Times New Roman" w:cs="Times New Roman"/>
              <w:color w:val="000000"/>
              <w:spacing w:val="-3"/>
              <w:sz w:val="24"/>
              <w:szCs w:val="24"/>
            </w:rPr>
            <w:t>[1]</w:t>
          </w:r>
        </w:sdtContent>
      </w:sdt>
      <w:r w:rsidRPr="001B336C">
        <w:rPr>
          <w:rFonts w:ascii="Times New Roman" w:eastAsia="Times" w:hAnsi="Times New Roman" w:cs="Times New Roman"/>
          <w:spacing w:val="-3"/>
          <w:sz w:val="24"/>
          <w:szCs w:val="24"/>
        </w:rPr>
        <w:t xml:space="preserve">, where durations </w:t>
      </w:r>
      <m:oMath>
        <m:r>
          <w:rPr>
            <w:rFonts w:ascii="Cambria Math" w:eastAsia="Times" w:hAnsi="Cambria Math" w:cs="Times New Roman"/>
            <w:spacing w:val="-3"/>
            <w:sz w:val="24"/>
            <w:szCs w:val="24"/>
          </w:rPr>
          <m:t>≤</m:t>
        </m:r>
      </m:oMath>
      <w:r w:rsidRPr="001B336C">
        <w:rPr>
          <w:rFonts w:ascii="Times New Roman" w:eastAsia="Times" w:hAnsi="Times New Roman" w:cs="Times New Roman"/>
          <w:spacing w:val="-3"/>
          <w:sz w:val="24"/>
          <w:szCs w:val="24"/>
        </w:rPr>
        <w:t xml:space="preserve"> 25 seconds represent above-average performance (in the top 30%). Lezak et al. </w:t>
      </w:r>
      <w:sdt>
        <w:sdtPr>
          <w:rPr>
            <w:rFonts w:ascii="Times New Roman" w:eastAsia="Times" w:hAnsi="Times New Roman" w:cs="Times New Roman"/>
            <w:color w:val="000000"/>
            <w:spacing w:val="-3"/>
            <w:sz w:val="24"/>
            <w:szCs w:val="24"/>
          </w:rPr>
          <w:tag w:val="MENDELEY_CITATION_v3_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"/>
          <w:id w:val="1194662897"/>
          <w:placeholder>
            <w:docPart w:val="070FAAE642DB49FFB9330D1B0FA75EDE"/>
          </w:placeholder>
        </w:sdtPr>
        <w:sdtContent>
          <w:r w:rsidRPr="001B336C">
            <w:rPr>
              <w:rFonts w:ascii="Times New Roman" w:eastAsia="Times" w:hAnsi="Times New Roman" w:cs="Times New Roman"/>
              <w:color w:val="000000"/>
              <w:spacing w:val="-3"/>
              <w:sz w:val="24"/>
              <w:szCs w:val="24"/>
            </w:rPr>
            <w:t>[2]</w:t>
          </w:r>
        </w:sdtContent>
      </w:sdt>
      <w:r w:rsidRPr="001B336C">
        <w:rPr>
          <w:rFonts w:ascii="Times New Roman" w:eastAsia="Times" w:hAnsi="Times New Roman" w:cs="Times New Roman"/>
          <w:spacing w:val="-3"/>
          <w:sz w:val="24"/>
          <w:szCs w:val="24"/>
        </w:rPr>
        <w:t xml:space="preserve"> clinical quartile splits and </w:t>
      </w:r>
      <w:r w:rsidRPr="001B336C">
        <w:rPr>
          <w:rFonts w:ascii="Times New Roman" w:eastAsia="Times" w:hAnsi="Times New Roman" w:cs="Times New Roman"/>
          <w:spacing w:val="-3"/>
          <w:sz w:val="24"/>
          <w:szCs w:val="24"/>
        </w:rPr>
        <w:lastRenderedPageBreak/>
        <w:t xml:space="preserve">cognitive correlates </w:t>
      </w:r>
      <w:sdt>
        <w:sdtPr>
          <w:rPr>
            <w:rFonts w:ascii="Times New Roman" w:eastAsia="Times" w:hAnsi="Times New Roman" w:cs="Times New Roman"/>
            <w:color w:val="000000"/>
            <w:spacing w:val="-3"/>
            <w:sz w:val="24"/>
            <w:szCs w:val="24"/>
          </w:rPr>
          <w:tag w:val="MENDELEY_CITATION_v3_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"/>
          <w:id w:val="892312432"/>
          <w:placeholder>
            <w:docPart w:val="070FAAE642DB49FFB9330D1B0FA75EDE"/>
          </w:placeholder>
        </w:sdtPr>
        <w:sdtContent>
          <w:r w:rsidRPr="001B336C">
            <w:rPr>
              <w:rFonts w:ascii="Times New Roman" w:eastAsia="Times" w:hAnsi="Times New Roman" w:cs="Times New Roman"/>
              <w:color w:val="000000"/>
              <w:spacing w:val="-3"/>
              <w:sz w:val="24"/>
              <w:szCs w:val="24"/>
            </w:rPr>
            <w:t>[3]</w:t>
          </w:r>
        </w:sdtContent>
      </w:sdt>
      <w:r w:rsidRPr="001B336C">
        <w:rPr>
          <w:rFonts w:ascii="Times New Roman" w:eastAsia="Times" w:hAnsi="Times New Roman" w:cs="Times New Roman"/>
          <w:color w:val="000000"/>
          <w:spacing w:val="-3"/>
          <w:sz w:val="24"/>
          <w:szCs w:val="24"/>
        </w:rPr>
        <w:t xml:space="preserve"> </w:t>
      </w:r>
      <w:r w:rsidRPr="001B336C">
        <w:rPr>
          <w:rFonts w:ascii="Times New Roman" w:eastAsia="Times" w:hAnsi="Times New Roman" w:cs="Times New Roman"/>
          <w:spacing w:val="-3"/>
          <w:sz w:val="24"/>
          <w:szCs w:val="24"/>
        </w:rPr>
        <w:t>further support this, where a sub-25-sec performance reflects superior visual attention and processing speed.</w:t>
      </w:r>
      <w:r w:rsidRPr="001B336C">
        <w:rPr>
          <w:rFonts w:ascii="Times New Roman" w:eastAsia="Times" w:hAnsi="Times New Roman" w:cs="Times New Roman"/>
          <w:color w:val="FF0000"/>
          <w:spacing w:val="-3"/>
          <w:sz w:val="24"/>
          <w:szCs w:val="24"/>
        </w:rPr>
        <w:t xml:space="preserve"> </w:t>
      </w:r>
      <w:r w:rsidRPr="001B336C">
        <w:rPr>
          <w:rFonts w:ascii="Times New Roman" w:eastAsia="Times" w:hAnsi="Times New Roman" w:cs="Times New Roman"/>
          <w:color w:val="000000"/>
          <w:spacing w:val="-3"/>
          <w:sz w:val="24"/>
          <w:szCs w:val="24"/>
        </w:rPr>
        <w:t>Thus, a total of 22 students were classified as AAR, while 21 were considered FAR.  Figure 4 shows the distribution for the two classes. One outlier was observed in the AAR class, where the last sample shows a rather wider gap of over 10 seconds; otherwise, the time difference between the two classes was evenly distributed. Each video dataset consisted of 59.94 frames per second (fps), with each frame having a width of 1280 and a height of 720</w:t>
      </w:r>
      <w:r>
        <w:rPr>
          <w:rFonts w:ascii="Times New Roman" w:eastAsia="Times" w:hAnsi="Times New Roman" w:cs="Times New Roman"/>
          <w:color w:val="000000"/>
          <w:spacing w:val="-3"/>
          <w:sz w:val="24"/>
          <w:szCs w:val="24"/>
        </w:rPr>
        <w:t>.</w:t>
      </w:r>
    </w:p>
    <w:p w14:paraId="6D3C1154" w14:textId="77777777" w:rsidR="001B336C" w:rsidRDefault="001B336C" w:rsidP="001B336C">
      <w:pPr>
        <w:jc w:val="both"/>
        <w:rPr>
          <w:rFonts w:ascii="Times New Roman" w:eastAsia="Times" w:hAnsi="Times New Roman" w:cs="Times New Roman"/>
          <w:color w:val="000000"/>
          <w:spacing w:val="-3"/>
          <w:sz w:val="24"/>
          <w:szCs w:val="24"/>
        </w:rPr>
      </w:pPr>
    </w:p>
    <w:p w14:paraId="07F33AAC" w14:textId="302E4334" w:rsidR="001B336C" w:rsidRPr="001B336C" w:rsidRDefault="001B336C" w:rsidP="00940529">
      <w:pPr>
        <w:rPr>
          <w:rFonts w:ascii="Times New Roman" w:eastAsia="Times" w:hAnsi="Times New Roman" w:cs="Times New Roman"/>
          <w:b/>
          <w:bCs/>
          <w:color w:val="000000"/>
          <w:spacing w:val="-3"/>
          <w:sz w:val="24"/>
          <w:szCs w:val="24"/>
        </w:rPr>
      </w:pPr>
      <w:r w:rsidRPr="001B336C">
        <w:rPr>
          <w:rFonts w:ascii="Times New Roman" w:eastAsia="Times" w:hAnsi="Times New Roman" w:cs="Times New Roman"/>
          <w:b/>
          <w:bCs/>
          <w:color w:val="000000"/>
          <w:spacing w:val="-3"/>
          <w:sz w:val="24"/>
          <w:szCs w:val="24"/>
        </w:rPr>
        <w:t>References</w:t>
      </w:r>
    </w:p>
    <w:sdt>
      <w:sdtPr>
        <w:rPr>
          <w:rFonts w:ascii="Times" w:eastAsia="Times" w:hAnsi="Times" w:cs="Times"/>
          <w:color w:val="000000"/>
          <w:spacing w:val="-3"/>
        </w:rPr>
        <w:tag w:val="MENDELEY_BIBLIOGRAPHY"/>
        <w:id w:val="-1447925199"/>
        <w:placeholder>
          <w:docPart w:val="DefaultPlaceholder_-1854013440"/>
        </w:placeholder>
      </w:sdtPr>
      <w:sdtEndPr>
        <w:rPr>
          <w:rFonts w:ascii="Times New Roman" w:hAnsi="Times New Roman" w:cs="Times New Roman"/>
          <w:sz w:val="24"/>
          <w:szCs w:val="24"/>
        </w:rPr>
      </w:sdtEndPr>
      <w:sdtContent>
        <w:p w14:paraId="33C86F05" w14:textId="77777777" w:rsidR="001B336C" w:rsidRPr="001B336C" w:rsidRDefault="001B336C" w:rsidP="001B336C">
          <w:pPr>
            <w:autoSpaceDE w:val="0"/>
            <w:autoSpaceDN w:val="0"/>
            <w:spacing w:line="360" w:lineRule="auto"/>
            <w:ind w:hanging="640"/>
            <w:divId w:val="2080782533"/>
            <w:rPr>
              <w:rFonts w:ascii="Times New Roman" w:eastAsia="Times New Roman" w:hAnsi="Times New Roman" w:cs="Times New Roman"/>
              <w:color w:val="000000"/>
              <w:sz w:val="24"/>
              <w:szCs w:val="24"/>
              <w14:ligatures w14:val="none"/>
            </w:rPr>
          </w:pPr>
          <w:r w:rsidRPr="001B336C">
            <w:rPr>
              <w:rFonts w:eastAsia="Times New Roman"/>
              <w:color w:val="000000"/>
            </w:rPr>
            <w:t>[</w:t>
          </w:r>
          <w:r w:rsidRPr="001B336C">
            <w:rPr>
              <w:rFonts w:ascii="Times New Roman" w:eastAsia="Times New Roman" w:hAnsi="Times New Roman" w:cs="Times New Roman"/>
              <w:color w:val="000000"/>
              <w:sz w:val="24"/>
              <w:szCs w:val="24"/>
            </w:rPr>
            <w:t>1]</w:t>
          </w:r>
          <w:r w:rsidRPr="001B336C">
            <w:rPr>
              <w:rFonts w:ascii="Times New Roman" w:eastAsia="Times New Roman" w:hAnsi="Times New Roman" w:cs="Times New Roman"/>
              <w:color w:val="000000"/>
              <w:sz w:val="24"/>
              <w:szCs w:val="24"/>
            </w:rPr>
            <w:tab/>
            <w:t xml:space="preserve">T. N. Tombaugh, “Normative Data for the Trail Making Test (TMT) in Healthy Adult Populations: A Meta-Analysis,” </w:t>
          </w:r>
          <w:r w:rsidRPr="001B336C">
            <w:rPr>
              <w:rFonts w:ascii="Times New Roman" w:eastAsia="Times New Roman" w:hAnsi="Times New Roman" w:cs="Times New Roman"/>
              <w:i/>
              <w:iCs/>
              <w:color w:val="000000"/>
              <w:sz w:val="24"/>
              <w:szCs w:val="24"/>
            </w:rPr>
            <w:t>J Clin Exp Neuropsychol</w:t>
          </w:r>
          <w:r w:rsidRPr="001B336C">
            <w:rPr>
              <w:rFonts w:ascii="Times New Roman" w:eastAsia="Times New Roman" w:hAnsi="Times New Roman" w:cs="Times New Roman"/>
              <w:color w:val="000000"/>
              <w:sz w:val="24"/>
              <w:szCs w:val="24"/>
            </w:rPr>
            <w:t>, vol. 26, no. 2, pp. 159–178, 2004, doi: 10.1076/jcen.26.2.159.28087.</w:t>
          </w:r>
        </w:p>
        <w:p w14:paraId="2B57D6C7" w14:textId="77777777" w:rsidR="001B336C" w:rsidRPr="001B336C" w:rsidRDefault="001B336C" w:rsidP="001B336C">
          <w:pPr>
            <w:autoSpaceDE w:val="0"/>
            <w:autoSpaceDN w:val="0"/>
            <w:spacing w:line="360" w:lineRule="auto"/>
            <w:ind w:hanging="640"/>
            <w:divId w:val="1857693439"/>
            <w:rPr>
              <w:rFonts w:ascii="Times New Roman" w:eastAsia="Times New Roman" w:hAnsi="Times New Roman" w:cs="Times New Roman"/>
              <w:color w:val="000000"/>
              <w:sz w:val="24"/>
              <w:szCs w:val="24"/>
            </w:rPr>
          </w:pPr>
          <w:r w:rsidRPr="001B336C">
            <w:rPr>
              <w:rFonts w:ascii="Times New Roman" w:eastAsia="Times New Roman" w:hAnsi="Times New Roman" w:cs="Times New Roman"/>
              <w:color w:val="000000"/>
              <w:sz w:val="24"/>
              <w:szCs w:val="24"/>
            </w:rPr>
            <w:t>[2]</w:t>
          </w:r>
          <w:r w:rsidRPr="001B336C">
            <w:rPr>
              <w:rFonts w:ascii="Times New Roman" w:eastAsia="Times New Roman" w:hAnsi="Times New Roman" w:cs="Times New Roman"/>
              <w:color w:val="000000"/>
              <w:sz w:val="24"/>
              <w:szCs w:val="24"/>
            </w:rPr>
            <w:tab/>
            <w:t xml:space="preserve">M. D. Lezak, D. B. Howieson, E. D. Bigler, and D. Tranel, </w:t>
          </w:r>
          <w:r w:rsidRPr="001B336C">
            <w:rPr>
              <w:rFonts w:ascii="Times New Roman" w:eastAsia="Times New Roman" w:hAnsi="Times New Roman" w:cs="Times New Roman"/>
              <w:i/>
              <w:iCs/>
              <w:color w:val="000000"/>
              <w:sz w:val="24"/>
              <w:szCs w:val="24"/>
            </w:rPr>
            <w:t>Neuropsychological Assessment</w:t>
          </w:r>
          <w:r w:rsidRPr="001B336C">
            <w:rPr>
              <w:rFonts w:ascii="Times New Roman" w:eastAsia="Times New Roman" w:hAnsi="Times New Roman" w:cs="Times New Roman"/>
              <w:color w:val="000000"/>
              <w:sz w:val="24"/>
              <w:szCs w:val="24"/>
            </w:rPr>
            <w:t>, 5th ed. New York, NY: Oxford University Press, 2012. [Online]. Available: https://global.oup.com/academic/product/neuropsychological-assessment-9780195395525</w:t>
          </w:r>
        </w:p>
        <w:p w14:paraId="63D76077" w14:textId="77777777" w:rsidR="001B336C" w:rsidRPr="001B336C" w:rsidRDefault="001B336C" w:rsidP="001B336C">
          <w:pPr>
            <w:autoSpaceDE w:val="0"/>
            <w:autoSpaceDN w:val="0"/>
            <w:spacing w:line="360" w:lineRule="auto"/>
            <w:ind w:hanging="640"/>
            <w:divId w:val="1092313678"/>
            <w:rPr>
              <w:rFonts w:ascii="Times New Roman" w:eastAsia="Times New Roman" w:hAnsi="Times New Roman" w:cs="Times New Roman"/>
              <w:color w:val="000000"/>
              <w:sz w:val="24"/>
              <w:szCs w:val="24"/>
            </w:rPr>
          </w:pPr>
          <w:r w:rsidRPr="001B336C">
            <w:rPr>
              <w:rFonts w:ascii="Times New Roman" w:eastAsia="Times New Roman" w:hAnsi="Times New Roman" w:cs="Times New Roman"/>
              <w:color w:val="000000"/>
              <w:sz w:val="24"/>
              <w:szCs w:val="24"/>
            </w:rPr>
            <w:t>[3]</w:t>
          </w:r>
          <w:r w:rsidRPr="001B336C">
            <w:rPr>
              <w:rFonts w:ascii="Times New Roman" w:eastAsia="Times New Roman" w:hAnsi="Times New Roman" w:cs="Times New Roman"/>
              <w:color w:val="000000"/>
              <w:sz w:val="24"/>
              <w:szCs w:val="24"/>
            </w:rPr>
            <w:tab/>
            <w:t xml:space="preserve">I. Sánchez-Cubillo </w:t>
          </w:r>
          <w:r w:rsidRPr="001B336C">
            <w:rPr>
              <w:rFonts w:ascii="Times New Roman" w:eastAsia="Times New Roman" w:hAnsi="Times New Roman" w:cs="Times New Roman"/>
              <w:i/>
              <w:iCs/>
              <w:color w:val="000000"/>
              <w:sz w:val="24"/>
              <w:szCs w:val="24"/>
            </w:rPr>
            <w:t>et al.</w:t>
          </w:r>
          <w:r w:rsidRPr="001B336C">
            <w:rPr>
              <w:rFonts w:ascii="Times New Roman" w:eastAsia="Times New Roman" w:hAnsi="Times New Roman" w:cs="Times New Roman"/>
              <w:color w:val="000000"/>
              <w:sz w:val="24"/>
              <w:szCs w:val="24"/>
            </w:rPr>
            <w:t xml:space="preserve">, “Construct validity of the Trail Making Test: Role of task-switching, working memory, inhibition/interference control, and visuomotor abilities,” 2009, </w:t>
          </w:r>
          <w:r w:rsidRPr="001B336C">
            <w:rPr>
              <w:rFonts w:ascii="Times New Roman" w:eastAsia="Times New Roman" w:hAnsi="Times New Roman" w:cs="Times New Roman"/>
              <w:i/>
              <w:iCs/>
              <w:color w:val="000000"/>
              <w:sz w:val="24"/>
              <w:szCs w:val="24"/>
            </w:rPr>
            <w:t>Cambridge University Press</w:t>
          </w:r>
          <w:r w:rsidRPr="001B336C">
            <w:rPr>
              <w:rFonts w:ascii="Times New Roman" w:eastAsia="Times New Roman" w:hAnsi="Times New Roman" w:cs="Times New Roman"/>
              <w:color w:val="000000"/>
              <w:sz w:val="24"/>
              <w:szCs w:val="24"/>
            </w:rPr>
            <w:t>. doi: 10.1017/S1355617709090626.</w:t>
          </w:r>
        </w:p>
        <w:p w14:paraId="798AF4F5" w14:textId="589C9CB5" w:rsidR="001B336C" w:rsidRPr="001B336C" w:rsidRDefault="001B336C" w:rsidP="001B336C">
          <w:pPr>
            <w:spacing w:line="360" w:lineRule="auto"/>
            <w:rPr>
              <w:rFonts w:ascii="Times New Roman" w:eastAsia="Times" w:hAnsi="Times New Roman" w:cs="Times New Roman"/>
              <w:color w:val="000000"/>
              <w:spacing w:val="-3"/>
              <w:sz w:val="24"/>
              <w:szCs w:val="24"/>
            </w:rPr>
          </w:pPr>
          <w:r w:rsidRPr="001B336C">
            <w:rPr>
              <w:rFonts w:ascii="Times New Roman" w:eastAsia="Times New Roman" w:hAnsi="Times New Roman" w:cs="Times New Roman"/>
              <w:color w:val="000000"/>
              <w:sz w:val="24"/>
              <w:szCs w:val="24"/>
            </w:rPr>
            <w:t> </w:t>
          </w:r>
        </w:p>
      </w:sdtContent>
    </w:sdt>
    <w:p w14:paraId="45537DE0" w14:textId="77777777" w:rsidR="001B336C" w:rsidRPr="00940529" w:rsidRDefault="001B336C" w:rsidP="00940529">
      <w:pPr>
        <w:rPr>
          <w:rFonts w:ascii="Times New Roman" w:hAnsi="Times New Roman" w:cs="Times New Roman"/>
          <w:sz w:val="28"/>
          <w:szCs w:val="28"/>
        </w:rPr>
      </w:pPr>
    </w:p>
    <w:sectPr w:rsidR="001B336C" w:rsidRPr="00940529" w:rsidSect="007251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331AB"/>
    <w:multiLevelType w:val="hybridMultilevel"/>
    <w:tmpl w:val="6032C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315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4A"/>
    <w:rsid w:val="001B336C"/>
    <w:rsid w:val="00482326"/>
    <w:rsid w:val="006C5435"/>
    <w:rsid w:val="00704429"/>
    <w:rsid w:val="00725144"/>
    <w:rsid w:val="00940529"/>
    <w:rsid w:val="00AE6D74"/>
    <w:rsid w:val="00C2064A"/>
    <w:rsid w:val="00D575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2FC06"/>
  <w15:chartTrackingRefBased/>
  <w15:docId w15:val="{AACCAAE7-BC98-4F8E-81A5-CD2D1CCF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64A"/>
    <w:rPr>
      <w:rFonts w:eastAsiaTheme="majorEastAsia" w:cstheme="majorBidi"/>
      <w:color w:val="272727" w:themeColor="text1" w:themeTint="D8"/>
    </w:rPr>
  </w:style>
  <w:style w:type="paragraph" w:styleId="Title">
    <w:name w:val="Title"/>
    <w:basedOn w:val="Normal"/>
    <w:next w:val="Normal"/>
    <w:link w:val="TitleChar"/>
    <w:uiPriority w:val="10"/>
    <w:qFormat/>
    <w:rsid w:val="00C20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64A"/>
    <w:pPr>
      <w:spacing w:before="160"/>
      <w:jc w:val="center"/>
    </w:pPr>
    <w:rPr>
      <w:i/>
      <w:iCs/>
      <w:color w:val="404040" w:themeColor="text1" w:themeTint="BF"/>
    </w:rPr>
  </w:style>
  <w:style w:type="character" w:customStyle="1" w:styleId="QuoteChar">
    <w:name w:val="Quote Char"/>
    <w:basedOn w:val="DefaultParagraphFont"/>
    <w:link w:val="Quote"/>
    <w:uiPriority w:val="29"/>
    <w:rsid w:val="00C2064A"/>
    <w:rPr>
      <w:i/>
      <w:iCs/>
      <w:color w:val="404040" w:themeColor="text1" w:themeTint="BF"/>
    </w:rPr>
  </w:style>
  <w:style w:type="paragraph" w:styleId="ListParagraph">
    <w:name w:val="List Paragraph"/>
    <w:basedOn w:val="Normal"/>
    <w:uiPriority w:val="34"/>
    <w:qFormat/>
    <w:rsid w:val="00C2064A"/>
    <w:pPr>
      <w:ind w:left="720"/>
      <w:contextualSpacing/>
    </w:pPr>
  </w:style>
  <w:style w:type="character" w:styleId="IntenseEmphasis">
    <w:name w:val="Intense Emphasis"/>
    <w:basedOn w:val="DefaultParagraphFont"/>
    <w:uiPriority w:val="21"/>
    <w:qFormat/>
    <w:rsid w:val="00C2064A"/>
    <w:rPr>
      <w:i/>
      <w:iCs/>
      <w:color w:val="0F4761" w:themeColor="accent1" w:themeShade="BF"/>
    </w:rPr>
  </w:style>
  <w:style w:type="paragraph" w:styleId="IntenseQuote">
    <w:name w:val="Intense Quote"/>
    <w:basedOn w:val="Normal"/>
    <w:next w:val="Normal"/>
    <w:link w:val="IntenseQuoteChar"/>
    <w:uiPriority w:val="30"/>
    <w:qFormat/>
    <w:rsid w:val="00C20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64A"/>
    <w:rPr>
      <w:i/>
      <w:iCs/>
      <w:color w:val="0F4761" w:themeColor="accent1" w:themeShade="BF"/>
    </w:rPr>
  </w:style>
  <w:style w:type="character" w:styleId="IntenseReference">
    <w:name w:val="Intense Reference"/>
    <w:basedOn w:val="DefaultParagraphFont"/>
    <w:uiPriority w:val="32"/>
    <w:qFormat/>
    <w:rsid w:val="00C2064A"/>
    <w:rPr>
      <w:b/>
      <w:bCs/>
      <w:smallCaps/>
      <w:color w:val="0F4761" w:themeColor="accent1" w:themeShade="BF"/>
      <w:spacing w:val="5"/>
    </w:rPr>
  </w:style>
  <w:style w:type="character" w:styleId="Hyperlink">
    <w:name w:val="Hyperlink"/>
    <w:basedOn w:val="DefaultParagraphFont"/>
    <w:uiPriority w:val="99"/>
    <w:unhideWhenUsed/>
    <w:rsid w:val="00C2064A"/>
    <w:rPr>
      <w:color w:val="467886" w:themeColor="hyperlink"/>
      <w:u w:val="single"/>
    </w:rPr>
  </w:style>
  <w:style w:type="character" w:styleId="UnresolvedMention">
    <w:name w:val="Unresolved Mention"/>
    <w:basedOn w:val="DefaultParagraphFont"/>
    <w:uiPriority w:val="99"/>
    <w:semiHidden/>
    <w:unhideWhenUsed/>
    <w:rsid w:val="00C2064A"/>
    <w:rPr>
      <w:color w:val="605E5C"/>
      <w:shd w:val="clear" w:color="auto" w:fill="E1DFDD"/>
    </w:rPr>
  </w:style>
  <w:style w:type="character" w:styleId="PlaceholderText">
    <w:name w:val="Placeholder Text"/>
    <w:basedOn w:val="DefaultParagraphFont"/>
    <w:uiPriority w:val="99"/>
    <w:semiHidden/>
    <w:rsid w:val="001B336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57478">
      <w:bodyDiv w:val="1"/>
      <w:marLeft w:val="0"/>
      <w:marRight w:val="0"/>
      <w:marTop w:val="0"/>
      <w:marBottom w:val="0"/>
      <w:divBdr>
        <w:top w:val="none" w:sz="0" w:space="0" w:color="auto"/>
        <w:left w:val="none" w:sz="0" w:space="0" w:color="auto"/>
        <w:bottom w:val="none" w:sz="0" w:space="0" w:color="auto"/>
        <w:right w:val="none" w:sz="0" w:space="0" w:color="auto"/>
      </w:divBdr>
      <w:divsChild>
        <w:div w:id="612323555">
          <w:marLeft w:val="0"/>
          <w:marRight w:val="0"/>
          <w:marTop w:val="0"/>
          <w:marBottom w:val="0"/>
          <w:divBdr>
            <w:top w:val="none" w:sz="0" w:space="0" w:color="auto"/>
            <w:left w:val="none" w:sz="0" w:space="0" w:color="auto"/>
            <w:bottom w:val="none" w:sz="0" w:space="0" w:color="auto"/>
            <w:right w:val="none" w:sz="0" w:space="0" w:color="auto"/>
          </w:divBdr>
        </w:div>
        <w:div w:id="862481453">
          <w:marLeft w:val="0"/>
          <w:marRight w:val="0"/>
          <w:marTop w:val="0"/>
          <w:marBottom w:val="0"/>
          <w:divBdr>
            <w:top w:val="none" w:sz="0" w:space="0" w:color="auto"/>
            <w:left w:val="none" w:sz="0" w:space="0" w:color="auto"/>
            <w:bottom w:val="none" w:sz="0" w:space="0" w:color="auto"/>
            <w:right w:val="none" w:sz="0" w:space="0" w:color="auto"/>
          </w:divBdr>
        </w:div>
      </w:divsChild>
    </w:div>
    <w:div w:id="1796678683">
      <w:bodyDiv w:val="1"/>
      <w:marLeft w:val="0"/>
      <w:marRight w:val="0"/>
      <w:marTop w:val="0"/>
      <w:marBottom w:val="0"/>
      <w:divBdr>
        <w:top w:val="none" w:sz="0" w:space="0" w:color="auto"/>
        <w:left w:val="none" w:sz="0" w:space="0" w:color="auto"/>
        <w:bottom w:val="none" w:sz="0" w:space="0" w:color="auto"/>
        <w:right w:val="none" w:sz="0" w:space="0" w:color="auto"/>
      </w:divBdr>
      <w:divsChild>
        <w:div w:id="2080782533">
          <w:marLeft w:val="640"/>
          <w:marRight w:val="0"/>
          <w:marTop w:val="0"/>
          <w:marBottom w:val="0"/>
          <w:divBdr>
            <w:top w:val="none" w:sz="0" w:space="0" w:color="auto"/>
            <w:left w:val="none" w:sz="0" w:space="0" w:color="auto"/>
            <w:bottom w:val="none" w:sz="0" w:space="0" w:color="auto"/>
            <w:right w:val="none" w:sz="0" w:space="0" w:color="auto"/>
          </w:divBdr>
        </w:div>
        <w:div w:id="1857693439">
          <w:marLeft w:val="640"/>
          <w:marRight w:val="0"/>
          <w:marTop w:val="0"/>
          <w:marBottom w:val="0"/>
          <w:divBdr>
            <w:top w:val="none" w:sz="0" w:space="0" w:color="auto"/>
            <w:left w:val="none" w:sz="0" w:space="0" w:color="auto"/>
            <w:bottom w:val="none" w:sz="0" w:space="0" w:color="auto"/>
            <w:right w:val="none" w:sz="0" w:space="0" w:color="auto"/>
          </w:divBdr>
        </w:div>
        <w:div w:id="1092313678">
          <w:marLeft w:val="640"/>
          <w:marRight w:val="0"/>
          <w:marTop w:val="0"/>
          <w:marBottom w:val="0"/>
          <w:divBdr>
            <w:top w:val="none" w:sz="0" w:space="0" w:color="auto"/>
            <w:left w:val="none" w:sz="0" w:space="0" w:color="auto"/>
            <w:bottom w:val="none" w:sz="0" w:space="0" w:color="auto"/>
            <w:right w:val="none" w:sz="0" w:space="0" w:color="auto"/>
          </w:divBdr>
        </w:div>
      </w:divsChild>
    </w:div>
    <w:div w:id="2038654737">
      <w:bodyDiv w:val="1"/>
      <w:marLeft w:val="0"/>
      <w:marRight w:val="0"/>
      <w:marTop w:val="0"/>
      <w:marBottom w:val="0"/>
      <w:divBdr>
        <w:top w:val="none" w:sz="0" w:space="0" w:color="auto"/>
        <w:left w:val="none" w:sz="0" w:space="0" w:color="auto"/>
        <w:bottom w:val="none" w:sz="0" w:space="0" w:color="auto"/>
        <w:right w:val="none" w:sz="0" w:space="0" w:color="auto"/>
      </w:divBdr>
      <w:divsChild>
        <w:div w:id="1503163380">
          <w:marLeft w:val="0"/>
          <w:marRight w:val="0"/>
          <w:marTop w:val="0"/>
          <w:marBottom w:val="0"/>
          <w:divBdr>
            <w:top w:val="none" w:sz="0" w:space="0" w:color="auto"/>
            <w:left w:val="none" w:sz="0" w:space="0" w:color="auto"/>
            <w:bottom w:val="none" w:sz="0" w:space="0" w:color="auto"/>
            <w:right w:val="none" w:sz="0" w:space="0" w:color="auto"/>
          </w:divBdr>
        </w:div>
        <w:div w:id="332682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qwecibaahemmanuel@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0FAAE642DB49FFB9330D1B0FA75EDE"/>
        <w:category>
          <w:name w:val="General"/>
          <w:gallery w:val="placeholder"/>
        </w:category>
        <w:types>
          <w:type w:val="bbPlcHdr"/>
        </w:types>
        <w:behaviors>
          <w:behavior w:val="content"/>
        </w:behaviors>
        <w:guid w:val="{6237E0E3-53B7-4AD4-B983-63E2416E3C82}"/>
      </w:docPartPr>
      <w:docPartBody>
        <w:p w:rsidR="00000000" w:rsidRDefault="00852D45" w:rsidP="00852D45">
          <w:pPr>
            <w:pStyle w:val="070FAAE642DB49FFB9330D1B0FA75EDE"/>
          </w:pPr>
          <w:r w:rsidRPr="006F2B3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F282195-231F-411F-A215-E75686D8C5E2}"/>
      </w:docPartPr>
      <w:docPartBody>
        <w:p w:rsidR="00000000" w:rsidRDefault="00852D45">
          <w:r w:rsidRPr="005976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D45"/>
    <w:rsid w:val="00236956"/>
    <w:rsid w:val="00852D45"/>
    <w:rsid w:val="00AE6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2D45"/>
    <w:rPr>
      <w:color w:val="666666"/>
    </w:rPr>
  </w:style>
  <w:style w:type="paragraph" w:customStyle="1" w:styleId="070FAAE642DB49FFB9330D1B0FA75EDE">
    <w:name w:val="070FAAE642DB49FFB9330D1B0FA75EDE"/>
    <w:rsid w:val="00852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EBB11C-1B7B-49EE-975C-E72EF6797AE8}">
  <we:reference id="wa104382081" version="1.55.1.0" store="en-US" storeType="OMEX"/>
  <we:alternateReferences>
    <we:reference id="WA104382081" version="1.55.1.0" store="" storeType="OMEX"/>
  </we:alternateReferences>
  <we:properties>
    <we:property name="MENDELEY_CITATIONS" value="[{&quot;citationID&quot;:&quot;MENDELEY_CITATION_37291af4-b4e9-49cf-b1b3-9b43f1c48ba8&quot;,&quot;properties&quot;:{&quot;noteIndex&quot;:0},&quot;isEdited&quot;:false,&quot;manualOverride&quot;:{&quot;isManuallyOverridden&quot;:false,&quot;citeprocText&quot;:&quot;[1]&quot;,&quot;manualOverrideText&quot;:&quot;&quot;},&quot;citationTag&quot;:&quot;MENDELEY_CITATION_v3_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&quot;,&quot;citationItems&quot;:[{&quot;id&quot;:&quot;b12a1955-192b-3018-93c6-9e71bce056a8&quot;,&quot;itemData&quot;:{&quot;type&quot;:&quot;article-journal&quot;,&quot;id&quot;:&quot;b12a1955-192b-3018-93c6-9e71bce056a8&quot;,&quot;title&quot;:&quot;Normative Data for the Trail Making Test (TMT) in Healthy Adult Populations: A Meta-Analysis&quot;,&quot;author&quot;:[{&quot;family&quot;:&quot;Tombaugh&quot;,&quot;given&quot;:&quot;Tom N&quot;,&quot;parse-names&quot;:false,&quot;dropping-particle&quot;:&quot;&quot;,&quot;non-dropping-particle&quot;:&quot;&quot;}],&quot;container-title&quot;:&quot;Journal of Clinical and Experimental Neuropsychology&quot;,&quot;container-title-short&quot;:&quot;J Clin Exp Neuropsychol&quot;,&quot;DOI&quot;:&quot;10.1076/jcen.26.2.159.28087&quot;,&quot;URL&quot;:&quot;https://doi.org/10.1076/jcen.26.2.159.28087&quot;,&quot;issued&quot;:{&quot;date-parts&quot;:[[2004]]},&quot;page&quot;:&quot;159-178&quot;,&quot;publisher&quot;:&quot;Taylor &amp; Francis&quot;,&quot;issue&quot;:&quot;2&quot;,&quot;volume&quot;:&quot;26&quot;},&quot;isTemporary&quot;:false}]},{&quot;citationID&quot;:&quot;MENDELEY_CITATION_7c97b306-06d3-42b1-8e8a-003bfd1fd87b&quot;,&quot;properties&quot;:{&quot;noteIndex&quot;:0},&quot;isEdited&quot;:false,&quot;manualOverride&quot;:{&quot;isManuallyOverridden&quot;:false,&quot;citeprocText&quot;:&quot;[2]&quot;,&quot;manualOverrideText&quot;:&quot;&quot;},&quot;citationTag&quot;:&quot;MENDELEY_CITATION_v3_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&quot;,&quot;citationItems&quot;:[{&quot;id&quot;:&quot;af23e20a-0030-306a-a99e-7079fe5448f2&quot;,&quot;itemData&quot;:{&quot;type&quot;:&quot;book&quot;,&quot;id&quot;:&quot;af23e20a-0030-306a-a99e-7079fe5448f2&quot;,&quot;title&quot;:&quot;Neuropsychological Assessment&quot;,&quot;author&quot;:[{&quot;family&quot;:&quot;Lezak&quot;,&quot;given&quot;:&quot;Muriel Deutsch&quot;,&quot;parse-names&quot;:false,&quot;dropping-particle&quot;:&quot;&quot;,&quot;non-dropping-particle&quot;:&quot;&quot;},{&quot;family&quot;:&quot;Howieson&quot;,&quot;given&quot;:&quot;Diane B&quot;,&quot;parse-names&quot;:false,&quot;dropping-particle&quot;:&quot;&quot;,&quot;non-dropping-particle&quot;:&quot;&quot;},{&quot;family&quot;:&quot;Bigler&quot;,&quot;given&quot;:&quot;Erin D&quot;,&quot;parse-names&quot;:false,&quot;dropping-particle&quot;:&quot;&quot;,&quot;non-dropping-particle&quot;:&quot;&quot;},{&quot;family&quot;:&quot;Tranel&quot;,&quot;given&quot;:&quot;Daniel&quot;,&quot;parse-names&quot;:false,&quot;dropping-particle&quot;:&quot;&quot;,&quot;non-dropping-particle&quot;:&quot;&quot;}],&quot;ISBN&quot;:&quot;978-0-19-539552-5&quot;,&quot;URL&quot;:&quot;https://global.oup.com/academic/product/neuropsychological-assessment-9780195395525&quot;,&quot;issued&quot;:{&quot;date-parts&quot;:[[2012]]},&quot;publisher-place&quot;:&quot;New York, NY&quot;,&quot;edition&quot;:&quot;5&quot;,&quot;publisher&quot;:&quot;Oxford University Press&quot;,&quot;container-title-short&quot;:&quot;&quot;},&quot;isTemporary&quot;:false}]},{&quot;citationID&quot;:&quot;MENDELEY_CITATION_12111c77-1078-4e6e-9ee2-61e8427031ba&quot;,&quot;properties&quot;:{&quot;noteIndex&quot;:0},&quot;isEdited&quot;:false,&quot;manualOverride&quot;:{&quot;isManuallyOverridden&quot;:false,&quot;citeprocText&quot;:&quot;[3]&quot;,&quot;manualOverrideText&quot;:&quot;&quot;},&quot;citationTag&quot;:&quot;MENDELEY_CITATION_v3_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&quot;,&quot;citationItems&quot;:[{&quot;id&quot;:&quot;ac5dd80f-65a1-3088-8b92-e4ba4005cedb&quot;,&quot;itemData&quot;:{&quot;type&quot;:&quot;article&quot;,&quot;id&quot;:&quot;ac5dd80f-65a1-3088-8b92-e4ba4005cedb&quot;,&quot;title&quot;:&quot;Construct validity of the Trail Making Test: Role of task-switching, working memory, inhibition/interference control, and visuomotor abilities&quot;,&quot;author&quot;:[{&quot;family&quot;:&quot;Sánchez-Cubillo&quot;,&quot;given&quot;:&quot;I.&quot;,&quot;parse-names&quot;:false,&quot;dropping-particle&quot;:&quot;&quot;,&quot;non-dropping-particle&quot;:&quot;&quot;},{&quot;family&quot;:&quot;Periáñez&quot;,&quot;given&quot;:&quot;J. A.&quot;,&quot;parse-names&quot;:false,&quot;dropping-particle&quot;:&quot;&quot;,&quot;non-dropping-particle&quot;:&quot;&quot;},{&quot;family&quot;:&quot;Adrover-Roig&quot;,&quot;given&quot;:&quot;D.&quot;,&quot;parse-names&quot;:false,&quot;dropping-particle&quot;:&quot;&quot;,&quot;non-dropping-particle&quot;:&quot;&quot;},{&quot;family&quot;:&quot;Rodríguez-Sánchez&quot;,&quot;given&quot;:&quot;J. M.&quot;,&quot;parse-names&quot;:false,&quot;dropping-particle&quot;:&quot;&quot;,&quot;non-dropping-particle&quot;:&quot;&quot;},{&quot;family&quot;:&quot;Ríos-Lago&quot;,&quot;given&quot;:&quot;M.&quot;,&quot;parse-names&quot;:false,&quot;dropping-particle&quot;:&quot;&quot;,&quot;non-dropping-particle&quot;:&quot;&quot;},{&quot;family&quot;:&quot;Tirapu&quot;,&quot;given&quot;:&quot;J.&quot;,&quot;parse-names&quot;:false,&quot;dropping-particle&quot;:&quot;&quot;,&quot;non-dropping-particle&quot;:&quot;&quot;},{&quot;family&quot;:&quot;Barceló&quot;,&quot;given&quot;:&quot;F.&quot;,&quot;parse-names&quot;:false,&quot;dropping-particle&quot;:&quot;&quot;,&quot;non-dropping-particle&quot;:&quot;&quot;}],&quot;container-title&quot;:&quot;Journal of the International Neuropsychological Society&quot;,&quot;DOI&quot;:&quot;10.1017/S1355617709090626&quot;,&quot;ISSN&quot;:&quot;14697661&quot;,&quot;PMID&quot;:&quot;19402930&quot;,&quot;issued&quot;:{&quot;date-parts&quot;:[[2009]]},&quot;page&quot;:&quot;438-450&quot;,&quot;abstract&quot;:&quot;The aim of this study was to clarify which cognitive mechanisms underlie Trail Making Test (TMT) direct and derived scores. A comprehensive review of the literature on the topic was carried out to clarify which cognitive factors had been related to TMT performance. Following the review, we explored the relative contribution from working memory, inhibition/interference control, task-switching ability, and visuomotor speed to TMT performance. Forty-one healthy old subjects participated in the study and performed a battery of neuropsychological tests including the TMT, the Digit Symbol subtest [Wechsler Adult Intelligence Scale (Third Version) (WAIS-III)], a Finger Tapping Test, the Digits Forward and Backward subtests (WAIS-III), Stroop Test, and a task-switching paradigm inspired in the Wisconsin Card Sorting Test. Correlation and regression analyses were used in order to clarify the joint and unique contributions from different cognitive factors to the prediction of TMT scores. The results suggest that TMT-A requires mainly visuoperceptual abilities, TMT-B reflects primarily working memory and secondarily task-switching ability, while B-A minimizes visuoperceptual and working memory demands, providing a relatively pure indicator of executive control abilities. © 2009 The International Neuropsychological Society.&quot;,&quot;publisher&quot;:&quot;Cambridge University Press&quot;,&quot;issue&quot;:&quot;3&quot;,&quot;volume&quot;:&quot;15&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2E9AC-BDF8-40C0-9F48-FE92C0F4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409</Words>
  <Characters>2360</Characters>
  <Application>Microsoft Office Word</Application>
  <DocSecurity>0</DocSecurity>
  <Lines>41</Lines>
  <Paragraphs>17</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Kwesi, Baah</dc:creator>
  <cp:keywords/>
  <dc:description/>
  <cp:lastModifiedBy>Emmanuel Kwesi, Baah</cp:lastModifiedBy>
  <cp:revision>7</cp:revision>
  <dcterms:created xsi:type="dcterms:W3CDTF">2025-05-22T17:11:00Z</dcterms:created>
  <dcterms:modified xsi:type="dcterms:W3CDTF">2025-05-22T17:20:00Z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ebb82b3c-998b-4174-9e4a-d950cae7c12c</vt:lpwstr>
  </property>
</Properties>
</file>